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B2519E">
        <w:rPr>
          <w:rFonts w:ascii="Verdana" w:hAnsi="Verdana"/>
          <w:b/>
          <w:sz w:val="18"/>
          <w:szCs w:val="18"/>
        </w:rPr>
        <w:t>„</w:t>
      </w:r>
      <w:r w:rsidR="00B2519E" w:rsidRPr="00B2519E">
        <w:rPr>
          <w:rFonts w:ascii="Verdana" w:hAnsi="Verdana"/>
          <w:b/>
          <w:sz w:val="18"/>
          <w:szCs w:val="18"/>
        </w:rPr>
        <w:t>Svařovací dávky pro údržbu železničního svršku</w:t>
      </w:r>
      <w:r w:rsidRPr="00B2519E">
        <w:rPr>
          <w:rFonts w:ascii="Verdana" w:hAnsi="Verdana"/>
          <w:b/>
          <w:sz w:val="18"/>
          <w:szCs w:val="18"/>
        </w:rPr>
        <w:t>“</w:t>
      </w:r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51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251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519E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F2C20F-2823-4429-BDF7-5067BD25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308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2018-12-07T16:36:00Z</dcterms:created>
  <dcterms:modified xsi:type="dcterms:W3CDTF">2019-05-28T08:30:00Z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